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8FE0" w14:textId="0F1898D9" w:rsidR="00E314A2" w:rsidRDefault="0073128B">
      <w:pPr>
        <w:pStyle w:val="P68B1DB1-Normal1"/>
        <w:spacing w:after="0" w:line="360" w:lineRule="auto"/>
        <w:ind w:left="284" w:right="282"/>
        <w:jc w:val="both"/>
      </w:pPr>
      <w:r>
        <w:t>Cyber Guru S.p.A. declares that the personal data of its contractual counterparts (in particular their legal representatives, contact personnel, and designated representatives – the ‘</w:t>
      </w:r>
      <w:r>
        <w:rPr>
          <w:b/>
        </w:rPr>
        <w:t>Data Subjects</w:t>
      </w:r>
      <w:r>
        <w:t>’) collected for the purpose of establishing and executing contractual relationships will be processed in compliance with applicable data protection laws. Pursuant to Article 13 of EU Regulation 2016/679 (‘</w:t>
      </w:r>
      <w:r>
        <w:rPr>
          <w:b/>
        </w:rPr>
        <w:t>Regulation</w:t>
      </w:r>
      <w:r>
        <w:t>’), Cyber Guru S.p.A. provides the following information in relation to the aforementioned processing:</w:t>
      </w:r>
    </w:p>
    <w:p w14:paraId="14AE6CFA"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02977C2E" w14:textId="1B1AA254" w:rsidR="00E314A2" w:rsidRDefault="0073128B">
      <w:pPr>
        <w:pStyle w:val="P68B1DB1-ListParagraph2"/>
        <w:numPr>
          <w:ilvl w:val="0"/>
          <w:numId w:val="1"/>
        </w:numPr>
        <w:spacing w:after="0" w:line="360" w:lineRule="auto"/>
        <w:ind w:right="282"/>
        <w:jc w:val="both"/>
      </w:pPr>
      <w:r>
        <w:t>TYPE OF PERSONAL DATA COLLECTED</w:t>
      </w:r>
    </w:p>
    <w:p w14:paraId="08839D86" w14:textId="30601EBC" w:rsidR="00E314A2" w:rsidRDefault="0073128B">
      <w:pPr>
        <w:pStyle w:val="P68B1DB1-Normal1"/>
        <w:spacing w:after="0" w:line="360" w:lineRule="auto"/>
        <w:ind w:left="284" w:right="282"/>
        <w:jc w:val="both"/>
      </w:pPr>
      <w:r>
        <w:t>The personal data collected, as provided in the course of contractual relationships or by the Data Subjects (‘</w:t>
      </w:r>
      <w:r>
        <w:rPr>
          <w:b/>
        </w:rPr>
        <w:t>Data</w:t>
      </w:r>
      <w:r>
        <w:t>’) relate exclusively to:</w:t>
      </w:r>
    </w:p>
    <w:p w14:paraId="3C3EC29F" w14:textId="432F7AC6" w:rsidR="00E314A2" w:rsidRDefault="0073128B">
      <w:pPr>
        <w:pStyle w:val="P68B1DB1-Normal1"/>
        <w:spacing w:after="0" w:line="360" w:lineRule="auto"/>
        <w:ind w:left="993" w:right="282" w:hanging="284"/>
        <w:jc w:val="both"/>
      </w:pPr>
      <w:r>
        <w:t>-</w:t>
      </w:r>
      <w:r>
        <w:tab/>
        <w:t>identification data (for example: name, surname, etc.);</w:t>
      </w:r>
    </w:p>
    <w:p w14:paraId="6313E1C4" w14:textId="7E8985E7" w:rsidR="00E314A2" w:rsidRDefault="0073128B">
      <w:pPr>
        <w:pStyle w:val="P68B1DB1-Normal1"/>
        <w:spacing w:after="0" w:line="360" w:lineRule="auto"/>
        <w:ind w:left="993" w:right="282" w:hanging="284"/>
        <w:jc w:val="both"/>
      </w:pPr>
      <w:r>
        <w:t>-</w:t>
      </w:r>
      <w:r>
        <w:tab/>
        <w:t>contact details (for example: address, telephone, fax, email, etc.)</w:t>
      </w:r>
    </w:p>
    <w:p w14:paraId="255762BD" w14:textId="77777777" w:rsidR="00E314A2" w:rsidRDefault="0073128B">
      <w:pPr>
        <w:pStyle w:val="P68B1DB1-Normal1"/>
        <w:spacing w:after="0" w:line="360" w:lineRule="auto"/>
        <w:ind w:left="993" w:right="282" w:hanging="284"/>
        <w:jc w:val="both"/>
      </w:pPr>
      <w:r>
        <w:t>-</w:t>
      </w:r>
      <w:r>
        <w:tab/>
        <w:t>tax information (if required by law – for example tax code, VAT number, etc.);</w:t>
      </w:r>
    </w:p>
    <w:p w14:paraId="4EBD2D49" w14:textId="61F99DB7" w:rsidR="00E314A2" w:rsidRDefault="0073128B">
      <w:pPr>
        <w:pStyle w:val="P68B1DB1-Normal1"/>
        <w:spacing w:after="0" w:line="360" w:lineRule="auto"/>
        <w:ind w:left="993" w:right="282" w:hanging="284"/>
        <w:jc w:val="both"/>
      </w:pPr>
      <w:r>
        <w:t>-</w:t>
      </w:r>
      <w:r>
        <w:tab/>
        <w:t>any additional personal data that may be collected during the execution of contractual relationships</w:t>
      </w:r>
    </w:p>
    <w:p w14:paraId="4A7F2AC7"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0B98E54B" w14:textId="77777777" w:rsidR="00E314A2" w:rsidRDefault="0073128B">
      <w:pPr>
        <w:pStyle w:val="P68B1DB1-ListParagraph2"/>
        <w:numPr>
          <w:ilvl w:val="0"/>
          <w:numId w:val="1"/>
        </w:numPr>
        <w:spacing w:after="0" w:line="360" w:lineRule="auto"/>
        <w:ind w:right="282"/>
        <w:jc w:val="both"/>
      </w:pPr>
      <w:r>
        <w:t>DATA CONTROLLER</w:t>
      </w:r>
    </w:p>
    <w:p w14:paraId="03A12F4A" w14:textId="3DAC8417" w:rsidR="00E314A2" w:rsidRDefault="0073128B">
      <w:pPr>
        <w:pStyle w:val="P68B1DB1-Normal1"/>
        <w:spacing w:after="0" w:line="360" w:lineRule="auto"/>
        <w:ind w:left="284" w:right="282"/>
        <w:jc w:val="both"/>
      </w:pPr>
      <w:r w:rsidRPr="00750ED5">
        <w:rPr>
          <w:lang w:val="it-IT"/>
        </w:rPr>
        <w:t xml:space="preserve">The Data Controller </w:t>
      </w:r>
      <w:proofErr w:type="spellStart"/>
      <w:r w:rsidRPr="00750ED5">
        <w:rPr>
          <w:lang w:val="it-IT"/>
        </w:rPr>
        <w:t>is</w:t>
      </w:r>
      <w:proofErr w:type="spellEnd"/>
      <w:r w:rsidRPr="00750ED5">
        <w:rPr>
          <w:lang w:val="it-IT"/>
        </w:rPr>
        <w:t xml:space="preserve"> Cyber Guru S.p.A., </w:t>
      </w:r>
      <w:proofErr w:type="spellStart"/>
      <w:r w:rsidRPr="00750ED5">
        <w:rPr>
          <w:lang w:val="it-IT"/>
        </w:rPr>
        <w:t>located</w:t>
      </w:r>
      <w:proofErr w:type="spellEnd"/>
      <w:r w:rsidRPr="00750ED5">
        <w:rPr>
          <w:lang w:val="it-IT"/>
        </w:rPr>
        <w:t xml:space="preserve"> in Rome, Viale della Grande Muraglia 284. </w:t>
      </w:r>
      <w:r>
        <w:t xml:space="preserve">The Data Subject may contact the Data Controller at any time, by writing to the email address: </w:t>
      </w:r>
      <w:r>
        <w:rPr>
          <w:color w:val="0000FF"/>
          <w:u w:val="single"/>
        </w:rPr>
        <w:t>privacy@cyberguru.it</w:t>
      </w:r>
      <w:r>
        <w:t>, including to exercise the rights set out in section 7 of this policy.</w:t>
      </w:r>
    </w:p>
    <w:p w14:paraId="599FD078"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630D7A56" w14:textId="2B937EB2" w:rsidR="00E314A2" w:rsidRDefault="0073128B">
      <w:pPr>
        <w:pStyle w:val="P68B1DB1-ListParagraph2"/>
        <w:numPr>
          <w:ilvl w:val="0"/>
          <w:numId w:val="1"/>
        </w:numPr>
        <w:spacing w:after="0" w:line="360" w:lineRule="auto"/>
        <w:ind w:right="282"/>
        <w:jc w:val="both"/>
      </w:pPr>
      <w:r>
        <w:t>PURPOSE, LEGAL BASIS AND PROCESSING METHODS</w:t>
      </w:r>
    </w:p>
    <w:p w14:paraId="171B20EB" w14:textId="1340D596" w:rsidR="00E314A2" w:rsidRDefault="0073128B">
      <w:pPr>
        <w:pStyle w:val="P68B1DB1-Normal1"/>
        <w:spacing w:after="0" w:line="360" w:lineRule="auto"/>
        <w:ind w:left="284" w:right="282"/>
        <w:jc w:val="both"/>
      </w:pPr>
      <w:r>
        <w:t>The scope of processing of Data is:</w:t>
      </w:r>
    </w:p>
    <w:p w14:paraId="06CA8B86" w14:textId="1BEA3B4B" w:rsidR="00E314A2" w:rsidRDefault="0073128B">
      <w:pPr>
        <w:pStyle w:val="P68B1DB1-Normal1"/>
        <w:spacing w:after="0" w:line="360" w:lineRule="auto"/>
        <w:ind w:left="993" w:right="282" w:hanging="284"/>
        <w:jc w:val="both"/>
      </w:pPr>
      <w:r>
        <w:t xml:space="preserve">• </w:t>
      </w:r>
      <w:r>
        <w:tab/>
        <w:t>the completion and management of the Agreement. The legal basis for the processing is Article 6 (1)(b) of the Regulation, as it is necessary for the conclusion and performance of the contract or to which the Data Subject is a party in view of the role played.;</w:t>
      </w:r>
    </w:p>
    <w:p w14:paraId="23575758" w14:textId="01A35525" w:rsidR="00E314A2" w:rsidRDefault="0073128B">
      <w:pPr>
        <w:pStyle w:val="P68B1DB1-Normal1"/>
        <w:spacing w:after="0" w:line="360" w:lineRule="auto"/>
        <w:ind w:left="993" w:right="282" w:hanging="284"/>
        <w:jc w:val="both"/>
      </w:pPr>
      <w:r>
        <w:t>•</w:t>
      </w:r>
      <w:r>
        <w:tab/>
        <w:t>the fulfilment of legal obligations. The legal basis of the processing is Article 6 (1)(c) of the Regulation as necessary in order to comply with legal obligations.</w:t>
      </w:r>
    </w:p>
    <w:p w14:paraId="04D48B2F" w14:textId="3E7EC32D" w:rsidR="00E314A2" w:rsidRDefault="0073128B">
      <w:pPr>
        <w:pStyle w:val="P68B1DB1-Normal1"/>
        <w:spacing w:after="0" w:line="360" w:lineRule="auto"/>
        <w:ind w:left="284" w:right="282"/>
        <w:jc w:val="both"/>
      </w:pPr>
      <w:r>
        <w:t>The Data will be processed in paper, computerised and telematic form, and entered into the relevant databases to which only the Data Controller and its appointed employees will have access.</w:t>
      </w:r>
    </w:p>
    <w:p w14:paraId="68EC360E" w14:textId="4DE6F7AA" w:rsidR="00E314A2" w:rsidRDefault="0073128B">
      <w:pPr>
        <w:pStyle w:val="P68B1DB1-Normal1"/>
        <w:spacing w:after="0" w:line="360" w:lineRule="auto"/>
        <w:ind w:left="284" w:right="282"/>
        <w:jc w:val="both"/>
      </w:pPr>
      <w:r>
        <w:t>With regard to the Data processed in electronic form, appropriate security measures have been adopted to protect the rights, freedoms and legitimate interests of the Data Subject pursuant to Article 32 of the Regulation.</w:t>
      </w:r>
    </w:p>
    <w:p w14:paraId="1097BEA3" w14:textId="65F03382" w:rsidR="00E314A2" w:rsidRDefault="0073128B">
      <w:pPr>
        <w:pStyle w:val="P68B1DB1-Normal1"/>
        <w:spacing w:after="0" w:line="360" w:lineRule="auto"/>
        <w:ind w:left="284" w:right="282"/>
        <w:jc w:val="both"/>
      </w:pPr>
      <w:r>
        <w:t>The Data Controller declares that the Data is not processed through automated decision-making processes.</w:t>
      </w:r>
    </w:p>
    <w:p w14:paraId="48E2A8D4"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3A739C84" w14:textId="2F85C2E0" w:rsidR="00E314A2" w:rsidRDefault="0073128B">
      <w:pPr>
        <w:pStyle w:val="P68B1DB1-ListParagraph2"/>
        <w:numPr>
          <w:ilvl w:val="0"/>
          <w:numId w:val="1"/>
        </w:numPr>
        <w:spacing w:after="0" w:line="360" w:lineRule="auto"/>
        <w:ind w:right="282"/>
        <w:jc w:val="both"/>
      </w:pPr>
      <w:r>
        <w:t>DATA COMMUNICATION AND DATA TRANSFER</w:t>
      </w:r>
    </w:p>
    <w:p w14:paraId="50FE3A67" w14:textId="60DD6C41" w:rsidR="00E314A2" w:rsidRDefault="0073128B">
      <w:pPr>
        <w:pStyle w:val="P68B1DB1-Normal1"/>
        <w:spacing w:after="0" w:line="360" w:lineRule="auto"/>
        <w:ind w:left="284" w:right="282"/>
        <w:jc w:val="both"/>
      </w:pPr>
      <w:r>
        <w:t>The Data may be communicated to: (i) subjects to whom the right and interest to access the personal data of users is recognised by law or secondary regulations; (ii) companies, associations or professional firms that provide services and activities on behalf of the Data Controller as Data Processor for the fulfilment of legal obligations, as well as for any organisational and administrative need necessary to provide the requested services (‘</w:t>
      </w:r>
      <w:r>
        <w:rPr>
          <w:b/>
        </w:rPr>
        <w:t>Data Processors</w:t>
      </w:r>
      <w:r>
        <w:t xml:space="preserve">’). The names of </w:t>
      </w:r>
      <w:r>
        <w:lastRenderedPageBreak/>
        <w:t>the Data Processors are listed in a list that can be requested from the address indicated above. The Data will not be disclosed.</w:t>
      </w:r>
    </w:p>
    <w:p w14:paraId="6F4228E9" w14:textId="339C7B2B" w:rsidR="00E314A2" w:rsidRDefault="0073128B">
      <w:pPr>
        <w:pStyle w:val="P68B1DB1-Normal1"/>
        <w:spacing w:after="0" w:line="360" w:lineRule="auto"/>
        <w:ind w:left="284" w:right="282"/>
        <w:jc w:val="both"/>
      </w:pPr>
      <w:r>
        <w:t>The Data is not transferred to countries outside the EU or to international organisations.</w:t>
      </w:r>
    </w:p>
    <w:p w14:paraId="67D817D4" w14:textId="77777777" w:rsidR="00E314A2" w:rsidRDefault="00E314A2">
      <w:pPr>
        <w:spacing w:after="0" w:line="360" w:lineRule="auto"/>
        <w:ind w:right="282"/>
        <w:jc w:val="both"/>
        <w:rPr>
          <w:rFonts w:ascii="Garamond" w:eastAsia="MS Mincho" w:hAnsi="Garamond" w:cs="Arial"/>
          <w:kern w:val="0"/>
          <w:sz w:val="20"/>
          <w14:ligatures w14:val="none"/>
        </w:rPr>
      </w:pPr>
    </w:p>
    <w:p w14:paraId="68171953" w14:textId="152DF3F2" w:rsidR="00E314A2" w:rsidRDefault="0073128B">
      <w:pPr>
        <w:pStyle w:val="P68B1DB1-ListParagraph2"/>
        <w:numPr>
          <w:ilvl w:val="0"/>
          <w:numId w:val="1"/>
        </w:numPr>
        <w:spacing w:after="0" w:line="360" w:lineRule="auto"/>
        <w:ind w:right="282"/>
        <w:jc w:val="both"/>
      </w:pPr>
      <w:r>
        <w:t>DATA STORAGE</w:t>
      </w:r>
    </w:p>
    <w:p w14:paraId="593361EA" w14:textId="1E54363B" w:rsidR="00E314A2" w:rsidRDefault="0073128B">
      <w:pPr>
        <w:pStyle w:val="P68B1DB1-Normal1"/>
        <w:spacing w:after="0" w:line="360" w:lineRule="auto"/>
        <w:ind w:left="284" w:right="282"/>
        <w:jc w:val="both"/>
      </w:pPr>
      <w:r>
        <w:t>The Data will be processed for the time necessary to execute the contractual relationship. Once completed, the Data will be kept for the time necessary to fulfil legal obligations (for example in tax, accounting, administrative matters) and document the activities carried out. In these cases, the Data will be made anonymous or deleted within the time limits provided for by the aforementioned regulations.</w:t>
      </w:r>
    </w:p>
    <w:p w14:paraId="6E87CA09"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6A5EBE77" w14:textId="77777777" w:rsidR="00E314A2" w:rsidRDefault="0073128B">
      <w:pPr>
        <w:pStyle w:val="P68B1DB1-ListParagraph2"/>
        <w:numPr>
          <w:ilvl w:val="0"/>
          <w:numId w:val="1"/>
        </w:numPr>
        <w:spacing w:after="0" w:line="360" w:lineRule="auto"/>
        <w:ind w:right="282"/>
        <w:jc w:val="both"/>
      </w:pPr>
      <w:r>
        <w:t>COMPULSORY OR OPTIONAL PROVISION OF DATA</w:t>
      </w:r>
    </w:p>
    <w:p w14:paraId="41E87F60" w14:textId="5D203197" w:rsidR="00E314A2" w:rsidRDefault="0073128B">
      <w:pPr>
        <w:pStyle w:val="P68B1DB1-Normal1"/>
        <w:spacing w:after="0" w:line="360" w:lineRule="auto"/>
        <w:ind w:left="284" w:right="282"/>
        <w:jc w:val="both"/>
      </w:pPr>
      <w:r>
        <w:t>The provision of Data and its processing are mandatory in relation to the management of contractual aspects, including those relating to tax obligations; it follows that any refusal to provide data for these purposes may make it impossible for the Data Controller to carry out the professional relationships themselves and to comply with legal obligations.</w:t>
      </w:r>
    </w:p>
    <w:p w14:paraId="0F6B5EF8"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25270273" w14:textId="77777777" w:rsidR="00E314A2" w:rsidRDefault="0073128B">
      <w:pPr>
        <w:pStyle w:val="P68B1DB1-ListParagraph2"/>
        <w:numPr>
          <w:ilvl w:val="0"/>
          <w:numId w:val="1"/>
        </w:numPr>
        <w:spacing w:after="0" w:line="360" w:lineRule="auto"/>
        <w:ind w:right="282"/>
        <w:jc w:val="both"/>
      </w:pPr>
      <w:r>
        <w:t>RIGHTS OF DATA SUBJECTS</w:t>
      </w:r>
    </w:p>
    <w:p w14:paraId="44E73027" w14:textId="61B05D3E" w:rsidR="00E314A2" w:rsidRDefault="0073128B">
      <w:pPr>
        <w:pStyle w:val="P68B1DB1-Normal1"/>
        <w:spacing w:after="0" w:line="360" w:lineRule="auto"/>
        <w:ind w:left="285" w:right="282"/>
        <w:jc w:val="both"/>
      </w:pPr>
      <w:r>
        <w:t>Data Subjects may at any time exercise the rights provided for in the Regulation, including:</w:t>
      </w:r>
    </w:p>
    <w:p w14:paraId="742F303E" w14:textId="7E0CDE48" w:rsidR="00E314A2" w:rsidRDefault="0073128B">
      <w:pPr>
        <w:pStyle w:val="P68B1DB1-ListParagraph3"/>
        <w:numPr>
          <w:ilvl w:val="0"/>
          <w:numId w:val="3"/>
        </w:numPr>
        <w:spacing w:after="0" w:line="360" w:lineRule="auto"/>
        <w:ind w:right="282"/>
        <w:jc w:val="both"/>
      </w:pPr>
      <w:r>
        <w:t>requesting information on: (i) the origin of the Data; (ii) the purposes and methods of processing; (iii) the logic applied in the case of processing carried out with electronic tools; (iv) the identification details of the Data Controller and any Data Processors.</w:t>
      </w:r>
    </w:p>
    <w:p w14:paraId="515A9FD3" w14:textId="6E45A448" w:rsidR="00E314A2" w:rsidRDefault="0073128B">
      <w:pPr>
        <w:pStyle w:val="P68B1DB1-ListParagraph3"/>
        <w:numPr>
          <w:ilvl w:val="0"/>
          <w:numId w:val="3"/>
        </w:numPr>
        <w:spacing w:after="0" w:line="360" w:lineRule="auto"/>
        <w:ind w:right="282"/>
        <w:jc w:val="both"/>
      </w:pPr>
      <w:r>
        <w:t>obtaining: (i) access, updating, rectification or integration of the Data; (ii) erasure, anonymisation or blocking of Data processed in violation of the law; (iii) restriction of Data processing; (iv) copying of Data in standard format.</w:t>
      </w:r>
    </w:p>
    <w:p w14:paraId="10DC216B" w14:textId="3F866D89" w:rsidR="00E314A2" w:rsidRDefault="0073128B">
      <w:pPr>
        <w:pStyle w:val="P68B1DB1-ListParagraph3"/>
        <w:numPr>
          <w:ilvl w:val="0"/>
          <w:numId w:val="3"/>
        </w:numPr>
        <w:spacing w:after="0" w:line="360" w:lineRule="auto"/>
        <w:ind w:right="282"/>
        <w:jc w:val="both"/>
      </w:pPr>
      <w:r>
        <w:rPr>
          <w:b/>
        </w:rPr>
        <w:t>objecting, in whole or in part, to the processing in the cases provided for in Article 21 of the Regulation</w:t>
      </w:r>
      <w:r>
        <w:t>;</w:t>
      </w:r>
    </w:p>
    <w:p w14:paraId="14B82AE8" w14:textId="77777777" w:rsidR="00E314A2" w:rsidRDefault="0073128B">
      <w:pPr>
        <w:pStyle w:val="P68B1DB1-ListParagraph3"/>
        <w:numPr>
          <w:ilvl w:val="0"/>
          <w:numId w:val="3"/>
        </w:numPr>
        <w:spacing w:after="0" w:line="360" w:lineRule="auto"/>
        <w:ind w:right="282"/>
        <w:jc w:val="both"/>
      </w:pPr>
      <w:r>
        <w:t>withdrawing, at any time, any consent given and on the basis of which the processing is justified, without prejudice to the lawfulness of the processing carried out on the consent given before the withdrawal.</w:t>
      </w:r>
    </w:p>
    <w:p w14:paraId="1ED527BE" w14:textId="63579E1E" w:rsidR="00E314A2" w:rsidRDefault="0073128B">
      <w:pPr>
        <w:pStyle w:val="P68B1DB1-Normal1"/>
        <w:spacing w:after="0" w:line="360" w:lineRule="auto"/>
        <w:ind w:left="360" w:right="282"/>
        <w:jc w:val="both"/>
      </w:pPr>
      <w:r>
        <w:t xml:space="preserve">In order to exercise these rights, Data Subjects may contact the Data Controller at the email address: </w:t>
      </w:r>
      <w:r>
        <w:rPr>
          <w:color w:val="0000FF"/>
          <w:u w:val="single"/>
        </w:rPr>
        <w:t>privacy@cyberguru.it</w:t>
      </w:r>
      <w:r>
        <w:t>,</w:t>
      </w:r>
    </w:p>
    <w:p w14:paraId="643556D9" w14:textId="65879E6A" w:rsidR="00E314A2" w:rsidRDefault="0073128B">
      <w:pPr>
        <w:pStyle w:val="P68B1DB1-Normal1"/>
        <w:spacing w:after="0" w:line="360" w:lineRule="auto"/>
        <w:ind w:left="360" w:right="282"/>
        <w:jc w:val="both"/>
      </w:pPr>
      <w:r>
        <w:t>If they consider that the processing of the Data violates the law, the Data Subjects may also lodge a complaint with the supervisory authority of the Member State in which they habitually reside or work or of the place where the alleged violation occurred.</w:t>
      </w:r>
    </w:p>
    <w:p w14:paraId="75778163" w14:textId="05A8A51C" w:rsidR="00E314A2" w:rsidRDefault="0073128B">
      <w:pPr>
        <w:spacing w:after="0" w:line="360" w:lineRule="auto"/>
        <w:ind w:left="360" w:right="282"/>
        <w:jc w:val="both"/>
        <w:rPr>
          <w:rFonts w:ascii="Garamond" w:eastAsia="MS Mincho" w:hAnsi="Garamond" w:cs="Arial"/>
          <w:kern w:val="0"/>
          <w:sz w:val="20"/>
          <w14:ligatures w14:val="none"/>
        </w:rPr>
      </w:pPr>
      <w:r>
        <w:rPr>
          <w:rFonts w:ascii="Garamond" w:eastAsia="MS Mincho" w:hAnsi="Garamond" w:cs="Arial"/>
          <w:kern w:val="0"/>
          <w:sz w:val="20"/>
          <w14:ligatures w14:val="none"/>
        </w:rPr>
        <w:t xml:space="preserve">The Italian Supervisory Authority can be reached at the addresses on its website, </w:t>
      </w:r>
      <w:hyperlink r:id="rId10" w:history="1">
        <w:r w:rsidR="00E314A2">
          <w:rPr>
            <w:rStyle w:val="Collegamentoipertestuale"/>
            <w:rFonts w:ascii="Garamond" w:eastAsia="MS Mincho" w:hAnsi="Garamond" w:cs="Arial"/>
            <w:kern w:val="0"/>
            <w:sz w:val="20"/>
            <w14:ligatures w14:val="none"/>
          </w:rPr>
          <w:t>www.gpdp.it</w:t>
        </w:r>
      </w:hyperlink>
      <w:r>
        <w:rPr>
          <w:rFonts w:ascii="Garamond" w:eastAsia="MS Mincho" w:hAnsi="Garamond" w:cs="Arial"/>
          <w:kern w:val="0"/>
          <w:sz w:val="20"/>
          <w14:ligatures w14:val="none"/>
        </w:rPr>
        <w:t xml:space="preserve">. </w:t>
      </w:r>
    </w:p>
    <w:p w14:paraId="6A88BE38" w14:textId="77777777" w:rsidR="00E314A2" w:rsidRDefault="00E314A2">
      <w:pPr>
        <w:spacing w:after="0" w:line="360" w:lineRule="auto"/>
        <w:ind w:right="282"/>
        <w:jc w:val="both"/>
        <w:rPr>
          <w:rFonts w:ascii="Garamond" w:eastAsia="MS Mincho" w:hAnsi="Garamond" w:cs="Arial"/>
          <w:kern w:val="0"/>
          <w:sz w:val="20"/>
          <w14:ligatures w14:val="none"/>
        </w:rPr>
      </w:pPr>
    </w:p>
    <w:p w14:paraId="57EE7470"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2297AA6A" w14:textId="77777777" w:rsidR="00E314A2" w:rsidRDefault="00E314A2">
      <w:pPr>
        <w:spacing w:after="0" w:line="360" w:lineRule="auto"/>
        <w:ind w:left="284" w:right="282"/>
        <w:jc w:val="both"/>
        <w:rPr>
          <w:rFonts w:ascii="Garamond" w:eastAsia="MS Mincho" w:hAnsi="Garamond" w:cs="Arial"/>
          <w:kern w:val="0"/>
          <w:sz w:val="20"/>
          <w14:ligatures w14:val="none"/>
        </w:rPr>
      </w:pPr>
    </w:p>
    <w:p w14:paraId="1FA91BDD" w14:textId="1987C427" w:rsidR="00E314A2" w:rsidRDefault="00E314A2">
      <w:pPr>
        <w:spacing w:after="0" w:line="360" w:lineRule="auto"/>
        <w:ind w:left="284" w:right="282"/>
        <w:jc w:val="both"/>
        <w:rPr>
          <w:rFonts w:ascii="Garamond" w:eastAsia="MS Mincho" w:hAnsi="Garamond" w:cs="Arial"/>
          <w:kern w:val="0"/>
          <w:sz w:val="20"/>
          <w14:ligatures w14:val="none"/>
        </w:rPr>
      </w:pPr>
    </w:p>
    <w:sectPr w:rsidR="00E314A2">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D7F0" w14:textId="77777777" w:rsidR="00861FBC" w:rsidRDefault="00861FBC">
      <w:pPr>
        <w:spacing w:after="0" w:line="240" w:lineRule="auto"/>
      </w:pPr>
      <w:r>
        <w:separator/>
      </w:r>
    </w:p>
  </w:endnote>
  <w:endnote w:type="continuationSeparator" w:id="0">
    <w:p w14:paraId="16764574" w14:textId="77777777" w:rsidR="00861FBC" w:rsidRDefault="0086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848B" w14:textId="77777777" w:rsidR="00861FBC" w:rsidRDefault="00861FBC">
      <w:pPr>
        <w:spacing w:after="0" w:line="240" w:lineRule="auto"/>
      </w:pPr>
      <w:r>
        <w:separator/>
      </w:r>
    </w:p>
  </w:footnote>
  <w:footnote w:type="continuationSeparator" w:id="0">
    <w:p w14:paraId="12F86022" w14:textId="77777777" w:rsidR="00861FBC" w:rsidRDefault="00861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089"/>
      <w:gridCol w:w="1134"/>
      <w:gridCol w:w="1305"/>
    </w:tblGrid>
    <w:tr w:rsidR="00E314A2" w14:paraId="01FB5CB6" w14:textId="77777777" w:rsidTr="00750ED5">
      <w:trPr>
        <w:cantSplit/>
        <w:trHeight w:val="412"/>
      </w:trPr>
      <w:tc>
        <w:tcPr>
          <w:tcW w:w="3544" w:type="dxa"/>
          <w:vMerge w:val="restart"/>
          <w:vAlign w:val="center"/>
        </w:tcPr>
        <w:p w14:paraId="4D24A578" w14:textId="76A9DC52" w:rsidR="00E314A2" w:rsidRDefault="00750ED5">
          <w:pPr>
            <w:pStyle w:val="P68B1DB1-Normal4"/>
            <w:tabs>
              <w:tab w:val="center" w:pos="4320"/>
              <w:tab w:val="right" w:pos="8640"/>
            </w:tabs>
            <w:spacing w:after="0" w:line="240" w:lineRule="auto"/>
            <w:jc w:val="center"/>
          </w:pPr>
          <w:r>
            <w:rPr>
              <w:noProof/>
            </w:rPr>
            <w:drawing>
              <wp:inline distT="0" distB="0" distL="0" distR="0" wp14:anchorId="6D761F83" wp14:editId="5E487CFA">
                <wp:extent cx="2137638" cy="373380"/>
                <wp:effectExtent l="0" t="0" r="0" b="7620"/>
                <wp:docPr id="6211996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9673" name="Immagine 1"/>
                        <pic:cNvPicPr>
                          <a:picLocks noChangeAspect="1"/>
                        </pic:cNvPicPr>
                      </pic:nvPicPr>
                      <pic:blipFill>
                        <a:blip r:embed="rId1"/>
                        <a:stretch>
                          <a:fillRect/>
                        </a:stretch>
                      </pic:blipFill>
                      <pic:spPr>
                        <a:xfrm>
                          <a:off x="0" y="0"/>
                          <a:ext cx="2147331" cy="375073"/>
                        </a:xfrm>
                        <a:prstGeom prst="rect">
                          <a:avLst/>
                        </a:prstGeom>
                      </pic:spPr>
                    </pic:pic>
                  </a:graphicData>
                </a:graphic>
              </wp:inline>
            </w:drawing>
          </w:r>
        </w:p>
      </w:tc>
      <w:tc>
        <w:tcPr>
          <w:tcW w:w="3089" w:type="dxa"/>
          <w:vMerge w:val="restart"/>
          <w:vAlign w:val="center"/>
        </w:tcPr>
        <w:p w14:paraId="11ECCFA7" w14:textId="2EB3EF89" w:rsidR="00E314A2" w:rsidRDefault="0073128B">
          <w:pPr>
            <w:pStyle w:val="P68B1DB1-Normal5"/>
            <w:tabs>
              <w:tab w:val="center" w:pos="4320"/>
              <w:tab w:val="right" w:pos="8640"/>
            </w:tabs>
            <w:spacing w:after="0" w:line="240" w:lineRule="auto"/>
            <w:jc w:val="center"/>
            <w:rPr>
              <w:rFonts w:ascii="Aptos Display" w:hAnsi="Aptos Display"/>
            </w:rPr>
          </w:pPr>
          <w:r>
            <w:t>Annex A</w:t>
          </w:r>
        </w:p>
      </w:tc>
      <w:tc>
        <w:tcPr>
          <w:tcW w:w="1134" w:type="dxa"/>
          <w:vAlign w:val="center"/>
        </w:tcPr>
        <w:p w14:paraId="44E6F217" w14:textId="77777777" w:rsidR="00E314A2" w:rsidRDefault="0073128B">
          <w:pPr>
            <w:pStyle w:val="P68B1DB1-Normal6"/>
            <w:spacing w:after="0" w:line="240" w:lineRule="auto"/>
          </w:pPr>
          <w:r>
            <w:t>Doc. ID:</w:t>
          </w:r>
        </w:p>
      </w:tc>
      <w:tc>
        <w:tcPr>
          <w:tcW w:w="1305" w:type="dxa"/>
          <w:shd w:val="clear" w:color="auto" w:fill="E6E6E6"/>
          <w:vAlign w:val="center"/>
        </w:tcPr>
        <w:p w14:paraId="6AE22D93" w14:textId="77777777" w:rsidR="00E314A2" w:rsidRDefault="0073128B">
          <w:pPr>
            <w:pStyle w:val="P68B1DB1-Normal7"/>
            <w:spacing w:after="0" w:line="240" w:lineRule="auto"/>
            <w:jc w:val="center"/>
          </w:pPr>
          <w:r>
            <w:t>INF05</w:t>
          </w:r>
        </w:p>
      </w:tc>
    </w:tr>
    <w:tr w:rsidR="00E314A2" w14:paraId="62AC752B" w14:textId="77777777" w:rsidTr="00750ED5">
      <w:trPr>
        <w:cantSplit/>
        <w:trHeight w:val="275"/>
      </w:trPr>
      <w:tc>
        <w:tcPr>
          <w:tcW w:w="3544" w:type="dxa"/>
          <w:vMerge/>
          <w:vAlign w:val="center"/>
        </w:tcPr>
        <w:p w14:paraId="232072C8" w14:textId="77777777" w:rsidR="00E314A2" w:rsidRDefault="00E314A2">
          <w:pPr>
            <w:tabs>
              <w:tab w:val="center" w:pos="4320"/>
              <w:tab w:val="right" w:pos="8640"/>
            </w:tabs>
            <w:spacing w:after="0" w:line="240" w:lineRule="auto"/>
            <w:rPr>
              <w:rFonts w:ascii="Cambria" w:eastAsia="MS Mincho" w:hAnsi="Cambria" w:cs="Arial"/>
              <w:kern w:val="0"/>
              <w14:ligatures w14:val="none"/>
            </w:rPr>
          </w:pPr>
        </w:p>
      </w:tc>
      <w:tc>
        <w:tcPr>
          <w:tcW w:w="3089" w:type="dxa"/>
          <w:vMerge/>
          <w:vAlign w:val="center"/>
        </w:tcPr>
        <w:p w14:paraId="2EE03322" w14:textId="77777777" w:rsidR="00E314A2" w:rsidRDefault="00E314A2">
          <w:pPr>
            <w:tabs>
              <w:tab w:val="center" w:pos="4320"/>
              <w:tab w:val="right" w:pos="8640"/>
            </w:tabs>
            <w:spacing w:after="0" w:line="240" w:lineRule="auto"/>
            <w:jc w:val="center"/>
            <w:rPr>
              <w:rFonts w:ascii="Aptos Display" w:eastAsia="MS Mincho" w:hAnsi="Aptos Display" w:cs="Arial"/>
              <w:kern w:val="0"/>
              <w14:ligatures w14:val="none"/>
            </w:rPr>
          </w:pPr>
        </w:p>
      </w:tc>
      <w:tc>
        <w:tcPr>
          <w:tcW w:w="1134" w:type="dxa"/>
          <w:vAlign w:val="center"/>
        </w:tcPr>
        <w:p w14:paraId="6A166CFA" w14:textId="77777777" w:rsidR="00E314A2" w:rsidRDefault="0073128B">
          <w:pPr>
            <w:pStyle w:val="P68B1DB1-Normal6"/>
            <w:spacing w:after="0" w:line="240" w:lineRule="auto"/>
          </w:pPr>
          <w:r>
            <w:t>Rev.:</w:t>
          </w:r>
        </w:p>
      </w:tc>
      <w:tc>
        <w:tcPr>
          <w:tcW w:w="1305" w:type="dxa"/>
          <w:vAlign w:val="center"/>
        </w:tcPr>
        <w:p w14:paraId="795F938D" w14:textId="66617E58" w:rsidR="00E314A2" w:rsidRDefault="00E35ED7">
          <w:pPr>
            <w:pStyle w:val="P68B1DB1-Normal6"/>
            <w:spacing w:after="0" w:line="240" w:lineRule="auto"/>
            <w:jc w:val="center"/>
          </w:pPr>
          <w:r>
            <w:t>3</w:t>
          </w:r>
        </w:p>
      </w:tc>
    </w:tr>
    <w:tr w:rsidR="00E314A2" w14:paraId="30F4D1B3" w14:textId="77777777" w:rsidTr="00750ED5">
      <w:trPr>
        <w:cantSplit/>
        <w:trHeight w:val="421"/>
      </w:trPr>
      <w:tc>
        <w:tcPr>
          <w:tcW w:w="3544" w:type="dxa"/>
          <w:vMerge/>
          <w:vAlign w:val="center"/>
        </w:tcPr>
        <w:p w14:paraId="0D17D0A9" w14:textId="77777777" w:rsidR="00E314A2" w:rsidRDefault="00E314A2">
          <w:pPr>
            <w:tabs>
              <w:tab w:val="center" w:pos="4320"/>
              <w:tab w:val="right" w:pos="8640"/>
            </w:tabs>
            <w:spacing w:after="0" w:line="240" w:lineRule="auto"/>
            <w:rPr>
              <w:rFonts w:ascii="Cambria" w:eastAsia="MS Mincho" w:hAnsi="Cambria" w:cs="Arial"/>
              <w:kern w:val="0"/>
              <w14:ligatures w14:val="none"/>
            </w:rPr>
          </w:pPr>
        </w:p>
      </w:tc>
      <w:tc>
        <w:tcPr>
          <w:tcW w:w="3089" w:type="dxa"/>
          <w:vMerge/>
          <w:vAlign w:val="center"/>
        </w:tcPr>
        <w:p w14:paraId="65AC954B" w14:textId="77777777" w:rsidR="00E314A2" w:rsidRDefault="00E314A2">
          <w:pPr>
            <w:tabs>
              <w:tab w:val="center" w:pos="4320"/>
              <w:tab w:val="right" w:pos="8640"/>
            </w:tabs>
            <w:spacing w:after="0" w:line="240" w:lineRule="auto"/>
            <w:jc w:val="center"/>
            <w:rPr>
              <w:rFonts w:ascii="Aptos Display" w:eastAsia="MS Mincho" w:hAnsi="Aptos Display" w:cs="Arial"/>
              <w:kern w:val="0"/>
              <w14:ligatures w14:val="none"/>
            </w:rPr>
          </w:pPr>
        </w:p>
      </w:tc>
      <w:tc>
        <w:tcPr>
          <w:tcW w:w="1134" w:type="dxa"/>
          <w:vAlign w:val="center"/>
        </w:tcPr>
        <w:p w14:paraId="28E85D67" w14:textId="77777777" w:rsidR="00E314A2" w:rsidRDefault="0073128B">
          <w:pPr>
            <w:pStyle w:val="P68B1DB1-Normal6"/>
            <w:spacing w:after="0" w:line="240" w:lineRule="auto"/>
          </w:pPr>
          <w:r>
            <w:t>Date:</w:t>
          </w:r>
        </w:p>
      </w:tc>
      <w:tc>
        <w:tcPr>
          <w:tcW w:w="1305" w:type="dxa"/>
          <w:vAlign w:val="center"/>
        </w:tcPr>
        <w:p w14:paraId="7553F542" w14:textId="689DB718" w:rsidR="00E314A2" w:rsidRDefault="00046E11">
          <w:pPr>
            <w:pStyle w:val="P68B1DB1-Normal6"/>
            <w:tabs>
              <w:tab w:val="center" w:pos="4320"/>
              <w:tab w:val="right" w:pos="8640"/>
            </w:tabs>
            <w:spacing w:after="0" w:line="240" w:lineRule="auto"/>
            <w:jc w:val="center"/>
          </w:pPr>
          <w:r>
            <w:t>02/0</w:t>
          </w:r>
          <w:r w:rsidR="00E35ED7">
            <w:t>3</w:t>
          </w:r>
          <w:r>
            <w:t>/202</w:t>
          </w:r>
          <w:r w:rsidR="00E35ED7">
            <w:t>6</w:t>
          </w:r>
        </w:p>
      </w:tc>
    </w:tr>
    <w:tr w:rsidR="00E314A2" w14:paraId="752A7F97" w14:textId="77777777">
      <w:trPr>
        <w:cantSplit/>
        <w:trHeight w:val="453"/>
      </w:trPr>
      <w:tc>
        <w:tcPr>
          <w:tcW w:w="7767" w:type="dxa"/>
          <w:gridSpan w:val="3"/>
          <w:vAlign w:val="center"/>
        </w:tcPr>
        <w:p w14:paraId="3B1D8915" w14:textId="77777777" w:rsidR="00E314A2" w:rsidRDefault="0073128B">
          <w:pPr>
            <w:pStyle w:val="P68B1DB1-Normal5"/>
            <w:spacing w:after="0" w:line="240" w:lineRule="auto"/>
            <w:jc w:val="center"/>
          </w:pPr>
          <w:r>
            <w:t>PERSONAL DATA PROCESSING POLICY</w:t>
          </w:r>
        </w:p>
        <w:p w14:paraId="7720C849" w14:textId="77777777" w:rsidR="00E314A2" w:rsidRDefault="0073128B">
          <w:pPr>
            <w:pStyle w:val="P68B1DB1-Normal5"/>
            <w:spacing w:after="0" w:line="240" w:lineRule="auto"/>
            <w:jc w:val="center"/>
            <w:rPr>
              <w:rFonts w:ascii="Aptos Display" w:hAnsi="Aptos Display"/>
              <w:sz w:val="28"/>
            </w:rPr>
          </w:pPr>
          <w:r>
            <w:t>Pursuant to Article 13 of the European Union General Data Protection Regulation 2016/679 (GDPR)</w:t>
          </w:r>
        </w:p>
      </w:tc>
      <w:tc>
        <w:tcPr>
          <w:tcW w:w="1305" w:type="dxa"/>
          <w:vAlign w:val="center"/>
        </w:tcPr>
        <w:p w14:paraId="3FB09AAC" w14:textId="77777777" w:rsidR="00E314A2" w:rsidRDefault="0073128B">
          <w:pPr>
            <w:pStyle w:val="P68B1DB1-Normal6"/>
            <w:spacing w:after="0" w:line="240" w:lineRule="auto"/>
            <w:jc w:val="center"/>
          </w:pPr>
          <w:r>
            <w:t xml:space="preserve">Page </w:t>
          </w:r>
          <w:r>
            <w:fldChar w:fldCharType="begin"/>
          </w:r>
          <w:r>
            <w:instrText xml:space="preserve"> PAGE </w:instrText>
          </w:r>
          <w:r>
            <w:fldChar w:fldCharType="separate"/>
          </w:r>
          <w:r>
            <w:t>28</w:t>
          </w:r>
          <w:r>
            <w:fldChar w:fldCharType="end"/>
          </w:r>
          <w:r>
            <w:t xml:space="preserve"> of </w:t>
          </w:r>
          <w:fldSimple w:instr=" NUMPAGES ">
            <w:r w:rsidR="00E314A2">
              <w:t>29</w:t>
            </w:r>
          </w:fldSimple>
        </w:p>
      </w:tc>
    </w:tr>
  </w:tbl>
  <w:p w14:paraId="3229B7F6" w14:textId="051336A9" w:rsidR="00E314A2" w:rsidRDefault="00E314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F7C2D"/>
    <w:multiLevelType w:val="hybridMultilevel"/>
    <w:tmpl w:val="54C0B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D10850"/>
    <w:multiLevelType w:val="hybridMultilevel"/>
    <w:tmpl w:val="41DAC79E"/>
    <w:lvl w:ilvl="0" w:tplc="A13C0A88">
      <w:start w:val="1"/>
      <w:numFmt w:val="decimal"/>
      <w:lvlText w:val="%1."/>
      <w:lvlJc w:val="left"/>
      <w:pPr>
        <w:ind w:left="645" w:hanging="360"/>
      </w:pPr>
      <w:rPr>
        <w:rFonts w:hint="default"/>
      </w:rPr>
    </w:lvl>
    <w:lvl w:ilvl="1" w:tplc="04100019" w:tentative="1">
      <w:start w:val="1"/>
      <w:numFmt w:val="lowerLetter"/>
      <w:lvlText w:val="%2."/>
      <w:lvlJc w:val="left"/>
      <w:pPr>
        <w:ind w:left="1365" w:hanging="360"/>
      </w:pPr>
    </w:lvl>
    <w:lvl w:ilvl="2" w:tplc="0410001B" w:tentative="1">
      <w:start w:val="1"/>
      <w:numFmt w:val="lowerRoman"/>
      <w:lvlText w:val="%3."/>
      <w:lvlJc w:val="right"/>
      <w:pPr>
        <w:ind w:left="2085" w:hanging="180"/>
      </w:pPr>
    </w:lvl>
    <w:lvl w:ilvl="3" w:tplc="0410000F" w:tentative="1">
      <w:start w:val="1"/>
      <w:numFmt w:val="decimal"/>
      <w:lvlText w:val="%4."/>
      <w:lvlJc w:val="left"/>
      <w:pPr>
        <w:ind w:left="2805" w:hanging="360"/>
      </w:pPr>
    </w:lvl>
    <w:lvl w:ilvl="4" w:tplc="04100019" w:tentative="1">
      <w:start w:val="1"/>
      <w:numFmt w:val="lowerLetter"/>
      <w:lvlText w:val="%5."/>
      <w:lvlJc w:val="left"/>
      <w:pPr>
        <w:ind w:left="3525" w:hanging="360"/>
      </w:pPr>
    </w:lvl>
    <w:lvl w:ilvl="5" w:tplc="0410001B" w:tentative="1">
      <w:start w:val="1"/>
      <w:numFmt w:val="lowerRoman"/>
      <w:lvlText w:val="%6."/>
      <w:lvlJc w:val="right"/>
      <w:pPr>
        <w:ind w:left="4245" w:hanging="180"/>
      </w:pPr>
    </w:lvl>
    <w:lvl w:ilvl="6" w:tplc="0410000F" w:tentative="1">
      <w:start w:val="1"/>
      <w:numFmt w:val="decimal"/>
      <w:lvlText w:val="%7."/>
      <w:lvlJc w:val="left"/>
      <w:pPr>
        <w:ind w:left="4965" w:hanging="360"/>
      </w:pPr>
    </w:lvl>
    <w:lvl w:ilvl="7" w:tplc="04100019" w:tentative="1">
      <w:start w:val="1"/>
      <w:numFmt w:val="lowerLetter"/>
      <w:lvlText w:val="%8."/>
      <w:lvlJc w:val="left"/>
      <w:pPr>
        <w:ind w:left="5685" w:hanging="360"/>
      </w:pPr>
    </w:lvl>
    <w:lvl w:ilvl="8" w:tplc="0410001B" w:tentative="1">
      <w:start w:val="1"/>
      <w:numFmt w:val="lowerRoman"/>
      <w:lvlText w:val="%9."/>
      <w:lvlJc w:val="right"/>
      <w:pPr>
        <w:ind w:left="6405" w:hanging="180"/>
      </w:pPr>
    </w:lvl>
  </w:abstractNum>
  <w:abstractNum w:abstractNumId="2" w15:restartNumberingAfterBreak="0">
    <w:nsid w:val="69A660FB"/>
    <w:multiLevelType w:val="hybridMultilevel"/>
    <w:tmpl w:val="B306A172"/>
    <w:lvl w:ilvl="0" w:tplc="120A7DC6">
      <w:numFmt w:val="bullet"/>
      <w:lvlText w:val="-"/>
      <w:lvlJc w:val="left"/>
      <w:pPr>
        <w:ind w:left="720" w:hanging="360"/>
      </w:pPr>
      <w:rPr>
        <w:rFonts w:ascii="Garamond" w:eastAsia="MS Mincho"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300020">
    <w:abstractNumId w:val="1"/>
  </w:num>
  <w:num w:numId="2" w16cid:durableId="1880047849">
    <w:abstractNumId w:val="0"/>
  </w:num>
  <w:num w:numId="3" w16cid:durableId="156290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BE"/>
    <w:rsid w:val="00021419"/>
    <w:rsid w:val="00046E11"/>
    <w:rsid w:val="000D00BE"/>
    <w:rsid w:val="000D2C8B"/>
    <w:rsid w:val="00137F81"/>
    <w:rsid w:val="001849AA"/>
    <w:rsid w:val="00287737"/>
    <w:rsid w:val="002B7BAA"/>
    <w:rsid w:val="00352B34"/>
    <w:rsid w:val="003A3841"/>
    <w:rsid w:val="003E58AA"/>
    <w:rsid w:val="00426CF3"/>
    <w:rsid w:val="00431929"/>
    <w:rsid w:val="004F5489"/>
    <w:rsid w:val="00513246"/>
    <w:rsid w:val="0059171E"/>
    <w:rsid w:val="005A094E"/>
    <w:rsid w:val="005C5A12"/>
    <w:rsid w:val="005E390A"/>
    <w:rsid w:val="006559EB"/>
    <w:rsid w:val="00683D03"/>
    <w:rsid w:val="00697061"/>
    <w:rsid w:val="006B7FF3"/>
    <w:rsid w:val="006E30B3"/>
    <w:rsid w:val="007119D3"/>
    <w:rsid w:val="0073128B"/>
    <w:rsid w:val="0074049F"/>
    <w:rsid w:val="00750ED5"/>
    <w:rsid w:val="007A636A"/>
    <w:rsid w:val="007A68BC"/>
    <w:rsid w:val="00861FBC"/>
    <w:rsid w:val="008D7AEE"/>
    <w:rsid w:val="00905EE3"/>
    <w:rsid w:val="009C4C1A"/>
    <w:rsid w:val="009E0BF9"/>
    <w:rsid w:val="00A10240"/>
    <w:rsid w:val="00A23D41"/>
    <w:rsid w:val="00A44621"/>
    <w:rsid w:val="00B05C1E"/>
    <w:rsid w:val="00B35411"/>
    <w:rsid w:val="00B61969"/>
    <w:rsid w:val="00BD07E3"/>
    <w:rsid w:val="00C169E6"/>
    <w:rsid w:val="00C56985"/>
    <w:rsid w:val="00CC0170"/>
    <w:rsid w:val="00D209D3"/>
    <w:rsid w:val="00DC1AB1"/>
    <w:rsid w:val="00E314A2"/>
    <w:rsid w:val="00E35ED7"/>
    <w:rsid w:val="00E62A3B"/>
    <w:rsid w:val="00F04D41"/>
    <w:rsid w:val="00F169FE"/>
    <w:rsid w:val="00F31F55"/>
    <w:rsid w:val="00F82FEB"/>
    <w:rsid w:val="00FD019D"/>
    <w:rsid w:val="0EB1321D"/>
    <w:rsid w:val="54DEC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83E3"/>
  <w15:chartTrackingRefBased/>
  <w15:docId w15:val="{3FDBD0F1-3ACA-4BF8-8049-E5B716D0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D00BE"/>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Titolo2">
    <w:name w:val="heading 2"/>
    <w:basedOn w:val="Normale"/>
    <w:next w:val="Normale"/>
    <w:link w:val="Titolo2Carattere"/>
    <w:uiPriority w:val="9"/>
    <w:semiHidden/>
    <w:unhideWhenUsed/>
    <w:qFormat/>
    <w:rsid w:val="000D00BE"/>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itolo3">
    <w:name w:val="heading 3"/>
    <w:basedOn w:val="Normale"/>
    <w:next w:val="Normale"/>
    <w:link w:val="Titolo3Carattere"/>
    <w:uiPriority w:val="9"/>
    <w:semiHidden/>
    <w:unhideWhenUsed/>
    <w:qFormat/>
    <w:rsid w:val="000D00BE"/>
    <w:pPr>
      <w:keepNext/>
      <w:keepLines/>
      <w:spacing w:before="160" w:after="80"/>
      <w:outlineLvl w:val="2"/>
    </w:pPr>
    <w:rPr>
      <w:rFonts w:eastAsiaTheme="majorEastAsia" w:cstheme="majorBidi"/>
      <w:color w:val="0F4761" w:themeColor="accent1" w:themeShade="BF"/>
      <w:sz w:val="28"/>
    </w:rPr>
  </w:style>
  <w:style w:type="paragraph" w:styleId="Titolo4">
    <w:name w:val="heading 4"/>
    <w:basedOn w:val="Normale"/>
    <w:next w:val="Normale"/>
    <w:link w:val="Titolo4Carattere"/>
    <w:uiPriority w:val="9"/>
    <w:semiHidden/>
    <w:unhideWhenUsed/>
    <w:qFormat/>
    <w:rsid w:val="000D00BE"/>
    <w:pPr>
      <w:keepNext/>
      <w:keepLines/>
      <w:spacing w:before="80" w:after="40"/>
      <w:outlineLvl w:val="3"/>
    </w:pPr>
    <w:rPr>
      <w:rFonts w:eastAsiaTheme="majorEastAsia" w:cstheme="majorBidi"/>
      <w:i/>
      <w:color w:val="0F4761" w:themeColor="accent1" w:themeShade="BF"/>
    </w:rPr>
  </w:style>
  <w:style w:type="paragraph" w:styleId="Titolo5">
    <w:name w:val="heading 5"/>
    <w:basedOn w:val="Normale"/>
    <w:next w:val="Normale"/>
    <w:link w:val="Titolo5Carattere"/>
    <w:uiPriority w:val="9"/>
    <w:semiHidden/>
    <w:unhideWhenUsed/>
    <w:qFormat/>
    <w:rsid w:val="000D00B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D00BE"/>
    <w:pPr>
      <w:keepNext/>
      <w:keepLines/>
      <w:spacing w:before="40" w:after="0"/>
      <w:outlineLvl w:val="5"/>
    </w:pPr>
    <w:rPr>
      <w:rFonts w:eastAsiaTheme="majorEastAsia" w:cstheme="majorBidi"/>
      <w:i/>
      <w:color w:val="595959" w:themeColor="text1" w:themeTint="A6"/>
    </w:rPr>
  </w:style>
  <w:style w:type="paragraph" w:styleId="Titolo7">
    <w:name w:val="heading 7"/>
    <w:basedOn w:val="Normale"/>
    <w:next w:val="Normale"/>
    <w:link w:val="Titolo7Carattere"/>
    <w:uiPriority w:val="9"/>
    <w:semiHidden/>
    <w:unhideWhenUsed/>
    <w:qFormat/>
    <w:rsid w:val="000D00B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00BE"/>
    <w:pPr>
      <w:keepNext/>
      <w:keepLines/>
      <w:spacing w:after="0"/>
      <w:outlineLvl w:val="7"/>
    </w:pPr>
    <w:rPr>
      <w:rFonts w:eastAsiaTheme="majorEastAsia" w:cstheme="majorBidi"/>
      <w:i/>
      <w:color w:val="272727" w:themeColor="text1" w:themeTint="D8"/>
    </w:rPr>
  </w:style>
  <w:style w:type="paragraph" w:styleId="Titolo9">
    <w:name w:val="heading 9"/>
    <w:basedOn w:val="Normale"/>
    <w:next w:val="Normale"/>
    <w:link w:val="Titolo9Carattere"/>
    <w:uiPriority w:val="9"/>
    <w:semiHidden/>
    <w:unhideWhenUsed/>
    <w:qFormat/>
    <w:rsid w:val="000D00B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00BE"/>
    <w:rPr>
      <w:rFonts w:asciiTheme="majorHAnsi" w:eastAsiaTheme="majorEastAsia" w:hAnsiTheme="majorHAnsi" w:cstheme="majorBidi"/>
      <w:color w:val="0F4761" w:themeColor="accent1" w:themeShade="BF"/>
      <w:sz w:val="40"/>
    </w:rPr>
  </w:style>
  <w:style w:type="character" w:customStyle="1" w:styleId="Titolo2Carattere">
    <w:name w:val="Titolo 2 Carattere"/>
    <w:basedOn w:val="Carpredefinitoparagrafo"/>
    <w:link w:val="Titolo2"/>
    <w:uiPriority w:val="9"/>
    <w:semiHidden/>
    <w:rsid w:val="000D00BE"/>
    <w:rPr>
      <w:rFonts w:asciiTheme="majorHAnsi" w:eastAsiaTheme="majorEastAsia" w:hAnsiTheme="majorHAnsi" w:cstheme="majorBidi"/>
      <w:color w:val="0F4761" w:themeColor="accent1" w:themeShade="BF"/>
      <w:sz w:val="32"/>
    </w:rPr>
  </w:style>
  <w:style w:type="character" w:customStyle="1" w:styleId="Titolo3Carattere">
    <w:name w:val="Titolo 3 Carattere"/>
    <w:basedOn w:val="Carpredefinitoparagrafo"/>
    <w:link w:val="Titolo3"/>
    <w:uiPriority w:val="9"/>
    <w:semiHidden/>
    <w:rsid w:val="000D00BE"/>
    <w:rPr>
      <w:rFonts w:eastAsiaTheme="majorEastAsia" w:cstheme="majorBidi"/>
      <w:color w:val="0F4761" w:themeColor="accent1" w:themeShade="BF"/>
      <w:sz w:val="28"/>
    </w:rPr>
  </w:style>
  <w:style w:type="character" w:customStyle="1" w:styleId="Titolo4Carattere">
    <w:name w:val="Titolo 4 Carattere"/>
    <w:basedOn w:val="Carpredefinitoparagrafo"/>
    <w:link w:val="Titolo4"/>
    <w:uiPriority w:val="9"/>
    <w:semiHidden/>
    <w:rsid w:val="000D00BE"/>
    <w:rPr>
      <w:rFonts w:eastAsiaTheme="majorEastAsia" w:cstheme="majorBidi"/>
      <w:i/>
      <w:color w:val="0F4761" w:themeColor="accent1" w:themeShade="BF"/>
    </w:rPr>
  </w:style>
  <w:style w:type="character" w:customStyle="1" w:styleId="Titolo5Carattere">
    <w:name w:val="Titolo 5 Carattere"/>
    <w:basedOn w:val="Carpredefinitoparagrafo"/>
    <w:link w:val="Titolo5"/>
    <w:uiPriority w:val="9"/>
    <w:semiHidden/>
    <w:rsid w:val="000D00B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D00BE"/>
    <w:rPr>
      <w:rFonts w:eastAsiaTheme="majorEastAsia" w:cstheme="majorBidi"/>
      <w:i/>
      <w:color w:val="595959" w:themeColor="text1" w:themeTint="A6"/>
    </w:rPr>
  </w:style>
  <w:style w:type="character" w:customStyle="1" w:styleId="Titolo7Carattere">
    <w:name w:val="Titolo 7 Carattere"/>
    <w:basedOn w:val="Carpredefinitoparagrafo"/>
    <w:link w:val="Titolo7"/>
    <w:uiPriority w:val="9"/>
    <w:semiHidden/>
    <w:rsid w:val="000D00B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00BE"/>
    <w:rPr>
      <w:rFonts w:eastAsiaTheme="majorEastAsia" w:cstheme="majorBidi"/>
      <w:i/>
      <w:color w:val="272727" w:themeColor="text1" w:themeTint="D8"/>
    </w:rPr>
  </w:style>
  <w:style w:type="character" w:customStyle="1" w:styleId="Titolo9Carattere">
    <w:name w:val="Titolo 9 Carattere"/>
    <w:basedOn w:val="Carpredefinitoparagrafo"/>
    <w:link w:val="Titolo9"/>
    <w:uiPriority w:val="9"/>
    <w:semiHidden/>
    <w:rsid w:val="000D00B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00BE"/>
    <w:pPr>
      <w:spacing w:after="80" w:line="240" w:lineRule="auto"/>
      <w:contextualSpacing/>
    </w:pPr>
    <w:rPr>
      <w:rFonts w:asciiTheme="majorHAnsi" w:eastAsiaTheme="majorEastAsia" w:hAnsiTheme="majorHAnsi" w:cstheme="majorBidi"/>
      <w:kern w:val="28"/>
      <w:sz w:val="56"/>
    </w:rPr>
  </w:style>
  <w:style w:type="character" w:customStyle="1" w:styleId="TitoloCarattere">
    <w:name w:val="Titolo Carattere"/>
    <w:basedOn w:val="Carpredefinitoparagrafo"/>
    <w:link w:val="Titolo"/>
    <w:uiPriority w:val="10"/>
    <w:rsid w:val="000D00BE"/>
    <w:rPr>
      <w:rFonts w:asciiTheme="majorHAnsi" w:eastAsiaTheme="majorEastAsia" w:hAnsiTheme="majorHAnsi" w:cstheme="majorBidi"/>
      <w:kern w:val="28"/>
      <w:sz w:val="56"/>
    </w:rPr>
  </w:style>
  <w:style w:type="paragraph" w:styleId="Sottotitolo">
    <w:name w:val="Subtitle"/>
    <w:basedOn w:val="Normale"/>
    <w:next w:val="Normale"/>
    <w:link w:val="SottotitoloCarattere"/>
    <w:uiPriority w:val="11"/>
    <w:qFormat/>
    <w:rsid w:val="000D00BE"/>
    <w:pPr>
      <w:numPr>
        <w:ilvl w:val="1"/>
      </w:numPr>
    </w:pPr>
    <w:rPr>
      <w:rFonts w:eastAsiaTheme="majorEastAsia" w:cstheme="majorBidi"/>
      <w:color w:val="595959" w:themeColor="text1" w:themeTint="A6"/>
      <w:sz w:val="28"/>
    </w:rPr>
  </w:style>
  <w:style w:type="character" w:customStyle="1" w:styleId="SottotitoloCarattere">
    <w:name w:val="Sottotitolo Carattere"/>
    <w:basedOn w:val="Carpredefinitoparagrafo"/>
    <w:link w:val="Sottotitolo"/>
    <w:uiPriority w:val="11"/>
    <w:rsid w:val="000D00BE"/>
    <w:rPr>
      <w:rFonts w:eastAsiaTheme="majorEastAsia" w:cstheme="majorBidi"/>
      <w:color w:val="595959" w:themeColor="text1" w:themeTint="A6"/>
      <w:sz w:val="28"/>
    </w:rPr>
  </w:style>
  <w:style w:type="paragraph" w:styleId="Citazione">
    <w:name w:val="Quote"/>
    <w:basedOn w:val="Normale"/>
    <w:next w:val="Normale"/>
    <w:link w:val="CitazioneCarattere"/>
    <w:uiPriority w:val="29"/>
    <w:qFormat/>
    <w:rsid w:val="000D00BE"/>
    <w:pPr>
      <w:spacing w:before="160"/>
      <w:jc w:val="center"/>
    </w:pPr>
    <w:rPr>
      <w:i/>
      <w:color w:val="404040" w:themeColor="text1" w:themeTint="BF"/>
    </w:rPr>
  </w:style>
  <w:style w:type="character" w:customStyle="1" w:styleId="CitazioneCarattere">
    <w:name w:val="Citazione Carattere"/>
    <w:basedOn w:val="Carpredefinitoparagrafo"/>
    <w:link w:val="Citazione"/>
    <w:uiPriority w:val="29"/>
    <w:rsid w:val="000D00BE"/>
    <w:rPr>
      <w:i/>
      <w:color w:val="404040" w:themeColor="text1" w:themeTint="BF"/>
    </w:rPr>
  </w:style>
  <w:style w:type="paragraph" w:styleId="Paragrafoelenco">
    <w:name w:val="List Paragraph"/>
    <w:basedOn w:val="Normale"/>
    <w:uiPriority w:val="34"/>
    <w:qFormat/>
    <w:rsid w:val="000D00BE"/>
    <w:pPr>
      <w:ind w:left="720"/>
      <w:contextualSpacing/>
    </w:pPr>
  </w:style>
  <w:style w:type="character" w:styleId="Enfasiintensa">
    <w:name w:val="Intense Emphasis"/>
    <w:basedOn w:val="Carpredefinitoparagrafo"/>
    <w:uiPriority w:val="21"/>
    <w:qFormat/>
    <w:rsid w:val="000D00BE"/>
    <w:rPr>
      <w:i/>
      <w:color w:val="0F4761" w:themeColor="accent1" w:themeShade="BF"/>
    </w:rPr>
  </w:style>
  <w:style w:type="paragraph" w:styleId="Citazioneintensa">
    <w:name w:val="Intense Quote"/>
    <w:basedOn w:val="Normale"/>
    <w:next w:val="Normale"/>
    <w:link w:val="CitazioneintensaCarattere"/>
    <w:uiPriority w:val="30"/>
    <w:qFormat/>
    <w:rsid w:val="000D00BE"/>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zioneintensaCarattere">
    <w:name w:val="Citazione intensa Carattere"/>
    <w:basedOn w:val="Carpredefinitoparagrafo"/>
    <w:link w:val="Citazioneintensa"/>
    <w:uiPriority w:val="30"/>
    <w:rsid w:val="000D00BE"/>
    <w:rPr>
      <w:i/>
      <w:color w:val="0F4761" w:themeColor="accent1" w:themeShade="BF"/>
    </w:rPr>
  </w:style>
  <w:style w:type="character" w:styleId="Riferimentointenso">
    <w:name w:val="Intense Reference"/>
    <w:basedOn w:val="Carpredefinitoparagrafo"/>
    <w:uiPriority w:val="32"/>
    <w:qFormat/>
    <w:rsid w:val="000D00BE"/>
    <w:rPr>
      <w:b/>
      <w:smallCaps/>
      <w:color w:val="0F4761" w:themeColor="accent1" w:themeShade="BF"/>
    </w:rPr>
  </w:style>
  <w:style w:type="paragraph" w:styleId="Intestazione">
    <w:name w:val="header"/>
    <w:basedOn w:val="Normale"/>
    <w:link w:val="IntestazioneCarattere"/>
    <w:uiPriority w:val="99"/>
    <w:unhideWhenUsed/>
    <w:rsid w:val="00FD01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019D"/>
  </w:style>
  <w:style w:type="paragraph" w:styleId="Pidipagina">
    <w:name w:val="footer"/>
    <w:basedOn w:val="Normale"/>
    <w:link w:val="PidipaginaCarattere"/>
    <w:uiPriority w:val="99"/>
    <w:unhideWhenUsed/>
    <w:rsid w:val="00FD01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019D"/>
  </w:style>
  <w:style w:type="paragraph" w:styleId="Revisione">
    <w:name w:val="Revision"/>
    <w:hidden/>
    <w:uiPriority w:val="99"/>
    <w:semiHidden/>
    <w:rsid w:val="00431929"/>
    <w:pPr>
      <w:spacing w:after="0" w:line="240" w:lineRule="auto"/>
    </w:pPr>
  </w:style>
  <w:style w:type="character" w:styleId="Collegamentoipertestuale">
    <w:name w:val="Hyperlink"/>
    <w:basedOn w:val="Carpredefinitoparagrafo"/>
    <w:uiPriority w:val="99"/>
    <w:unhideWhenUsed/>
    <w:rsid w:val="00D209D3"/>
    <w:rPr>
      <w:color w:val="467886" w:themeColor="hyperlink"/>
      <w:u w:val="single"/>
    </w:rPr>
  </w:style>
  <w:style w:type="character" w:styleId="Menzionenonrisolta">
    <w:name w:val="Unresolved Mention"/>
    <w:basedOn w:val="Carpredefinitoparagrafo"/>
    <w:uiPriority w:val="99"/>
    <w:semiHidden/>
    <w:unhideWhenUsed/>
    <w:rsid w:val="00D209D3"/>
    <w:rPr>
      <w:color w:val="605E5C"/>
      <w:shd w:val="clear" w:color="auto" w:fill="E1DFDD"/>
    </w:rPr>
  </w:style>
  <w:style w:type="paragraph" w:customStyle="1" w:styleId="P68B1DB1-Normal1">
    <w:name w:val="P68B1DB1-Normal1"/>
    <w:basedOn w:val="Normale"/>
    <w:rPr>
      <w:rFonts w:ascii="Garamond" w:eastAsia="MS Mincho" w:hAnsi="Garamond" w:cs="Arial"/>
      <w:kern w:val="0"/>
      <w:sz w:val="20"/>
      <w14:ligatures w14:val="none"/>
    </w:rPr>
  </w:style>
  <w:style w:type="paragraph" w:customStyle="1" w:styleId="P68B1DB1-ListParagraph2">
    <w:name w:val="P68B1DB1-ListParagraph2"/>
    <w:basedOn w:val="Paragrafoelenco"/>
    <w:rPr>
      <w:rFonts w:ascii="Garamond" w:eastAsia="MS Mincho" w:hAnsi="Garamond" w:cs="Arial"/>
      <w:b/>
      <w:kern w:val="0"/>
      <w:sz w:val="20"/>
      <w14:ligatures w14:val="none"/>
    </w:rPr>
  </w:style>
  <w:style w:type="paragraph" w:customStyle="1" w:styleId="P68B1DB1-ListParagraph3">
    <w:name w:val="P68B1DB1-ListParagraph3"/>
    <w:basedOn w:val="Paragrafoelenco"/>
    <w:rPr>
      <w:rFonts w:ascii="Garamond" w:eastAsia="MS Mincho" w:hAnsi="Garamond" w:cs="Arial"/>
      <w:kern w:val="0"/>
      <w:sz w:val="20"/>
      <w14:ligatures w14:val="none"/>
    </w:rPr>
  </w:style>
  <w:style w:type="paragraph" w:customStyle="1" w:styleId="P68B1DB1-Normal4">
    <w:name w:val="P68B1DB1-Normal4"/>
    <w:basedOn w:val="Normale"/>
    <w:rPr>
      <w:rFonts w:ascii="Cambria" w:eastAsia="MS Mincho" w:hAnsi="Cambria" w:cs="Arial"/>
      <w:kern w:val="0"/>
      <w14:ligatures w14:val="none"/>
    </w:rPr>
  </w:style>
  <w:style w:type="paragraph" w:customStyle="1" w:styleId="P68B1DB1-Normal5">
    <w:name w:val="P68B1DB1-Normal5"/>
    <w:basedOn w:val="Normale"/>
    <w:rPr>
      <w:rFonts w:ascii="Calibri" w:eastAsia="MS Mincho" w:hAnsi="Calibri" w:cs="Arial"/>
      <w:b/>
      <w:kern w:val="0"/>
      <w14:ligatures w14:val="none"/>
    </w:rPr>
  </w:style>
  <w:style w:type="paragraph" w:customStyle="1" w:styleId="P68B1DB1-Normal6">
    <w:name w:val="P68B1DB1-Normal6"/>
    <w:basedOn w:val="Normale"/>
    <w:rPr>
      <w:rFonts w:ascii="Aptos Display" w:eastAsia="MS Mincho" w:hAnsi="Aptos Display" w:cs="Arial"/>
      <w:kern w:val="0"/>
      <w:sz w:val="20"/>
      <w14:ligatures w14:val="none"/>
    </w:rPr>
  </w:style>
  <w:style w:type="paragraph" w:customStyle="1" w:styleId="P68B1DB1-Normal7">
    <w:name w:val="P68B1DB1-Normal7"/>
    <w:basedOn w:val="Normale"/>
    <w:rPr>
      <w:rFonts w:ascii="Aptos Display" w:eastAsia="MS Mincho" w:hAnsi="Aptos Display" w:cs="Arial"/>
      <w:b/>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gpdp.i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20a6e4-94b7-4198-b955-9c0f32897e4f" xsi:nil="true"/>
    <lcf76f155ced4ddcb4097134ff3c332f xmlns="40d0a500-46be-4512-87e8-2527323d07ee">
      <Terms xmlns="http://schemas.microsoft.com/office/infopath/2007/PartnerControls"/>
    </lcf76f155ced4ddcb4097134ff3c332f>
    <Test xmlns="40d0a500-46be-4512-87e8-2527323d07ee" xsi:nil="true"/>
  </documentManagement>
</p:properties>
</file>

<file path=customXml/itemProps1.xml><?xml version="1.0" encoding="utf-8"?>
<ds:datastoreItem xmlns:ds="http://schemas.openxmlformats.org/officeDocument/2006/customXml" ds:itemID="{43B72247-6686-49AC-8FD1-4E45E582F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0a500-46be-4512-87e8-2527323d07ee"/>
    <ds:schemaRef ds:uri="0520a6e4-94b7-4198-b955-9c0f3289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ED8E8-6BC2-4DD5-BC10-1ABC84D66492}">
  <ds:schemaRefs>
    <ds:schemaRef ds:uri="http://schemas.microsoft.com/sharepoint/v3/contenttype/forms"/>
  </ds:schemaRefs>
</ds:datastoreItem>
</file>

<file path=customXml/itemProps3.xml><?xml version="1.0" encoding="utf-8"?>
<ds:datastoreItem xmlns:ds="http://schemas.openxmlformats.org/officeDocument/2006/customXml" ds:itemID="{A712927A-5078-41EF-82A2-C14E9C84E906}">
  <ds:schemaRefs>
    <ds:schemaRef ds:uri="http://schemas.microsoft.com/office/2006/metadata/properties"/>
    <ds:schemaRef ds:uri="http://schemas.microsoft.com/office/infopath/2007/PartnerControls"/>
    <ds:schemaRef ds:uri="0520a6e4-94b7-4198-b955-9c0f32897e4f"/>
    <ds:schemaRef ds:uri="40d0a500-46be-4512-87e8-2527323d07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Conti Papuzza</dc:creator>
  <cp:keywords/>
  <dc:description/>
  <cp:lastModifiedBy>Alessandra Faranda</cp:lastModifiedBy>
  <cp:revision>5</cp:revision>
  <cp:lastPrinted>2025-07-08T10:17:00Z</cp:lastPrinted>
  <dcterms:created xsi:type="dcterms:W3CDTF">2025-07-08T10:17:00Z</dcterms:created>
  <dcterms:modified xsi:type="dcterms:W3CDTF">2026-05-11T07:58:00Z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0x010100586A57764CDD81428A1D1B1E7DB926F7</vt:lpwstr>
  </property>
</Properties>
</file>